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Relationship Id="customR1" Type="http://schemas.openxmlformats.org/officeDocument/2006/relationships/custom-properties" Target="/docProps/custom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  <w:r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  <w:t>ПРОТОКОЛ ПРО ПІДСУМКИ ГОЛОСУВАННЯ</w:t>
      </w:r>
    </w:p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uk-UA"/>
        </w:rPr>
      </w:pPr>
      <w:r>
        <w:rPr>
          <w:rFonts w:ascii="Times New Roman" w:hAnsi="Times New Roman" w:cs="Times New Roman" w:eastAsia="Times New Roman"/>
          <w:b w:val="1"/>
          <w:sz w:val="24"/>
          <w:szCs w:val="24"/>
          <w:lang w:eastAsia="ru-RU"/>
        </w:rPr>
        <w:t>Позачергові</w:t>
      </w:r>
      <w:r>
        <w:rPr>
          <w:rFonts w:ascii="Times New Roman" w:hAnsi="Times New Roman" w:cs="Times New Roman" w:eastAsia="Times New Roman"/>
          <w:bCs w:val="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 w:val="1"/>
          <w:bCs w:val="1"/>
          <w:sz w:val="24"/>
          <w:szCs w:val="24"/>
          <w:lang w:eastAsia="uk-UA"/>
        </w:rPr>
        <w:t xml:space="preserve">загальні збори акціонерів (далі – Загальні збори) </w:t>
      </w:r>
    </w:p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  <w:r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  <w:t xml:space="preserve">ПРИВАТНЕ АКЦІОНЕРНЕ ТОВАРИСТВО "РЕГІОНАЛЬНА ТЕЛЕМОВНА КОМПАНІЯ "ТОНІС-ЦЕНТР" </w:t>
      </w:r>
    </w:p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  <w:r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  <w:t>(код за ЄДРПОУ 14059592, далі - Товариство)</w:t>
      </w:r>
    </w:p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5529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Дата проведення Загальних зборів:</w:t>
              <w:tab/>
            </w:r>
          </w:p>
        </w:tc>
        <w:tc>
          <w:tcPr>
            <w:tcW w:w="4100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25.12.2025</w:t>
            </w:r>
          </w:p>
        </w:tc>
      </w:tr>
      <w:tr>
        <w:tc>
          <w:tcPr>
            <w:tcW w:w="5529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Спосіб проведення Загальних зборів:</w:t>
            </w:r>
          </w:p>
        </w:tc>
        <w:tc>
          <w:tcPr>
            <w:tcW w:w="4100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Шляхом електронного голосування</w:t>
            </w:r>
          </w:p>
        </w:tc>
      </w:tr>
      <w:tr>
        <w:tc>
          <w:tcPr>
            <w:tcW w:w="5529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Дата проведення голосування:</w:t>
            </w:r>
          </w:p>
        </w:tc>
        <w:tc>
          <w:tcPr>
            <w:tcW w:w="4100" w:type="dxa"/>
          </w:tcPr>
          <w:p>
            <w:pPr>
              <w:widowControl w:val="0"/>
              <w:spacing w:lineRule="auto" w:line="276" w:before="240" w:beforeAutospacing="0" w:afterAutospacing="0"/>
              <w:jc w:val="both"/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 w:eastAsia="Times New Roman"/>
                <w:bCs w:val="1"/>
                <w:sz w:val="24"/>
                <w:szCs w:val="24"/>
                <w:lang w:eastAsia="uk-UA"/>
              </w:rPr>
              <w:t>25.12.2025</w:t>
            </w:r>
          </w:p>
        </w:tc>
      </w:tr>
    </w:tbl>
    <w:p>
      <w:pPr>
        <w:widowControl w:val="0"/>
        <w:pBdr>
          <w:top w:val="nil" w:sz="0" w:space="0" w:shadow="0" w:frame="0" w:color="auto"/>
          <w:left w:val="nil" w:sz="0" w:space="0" w:shadow="0" w:frame="0" w:color="auto"/>
          <w:bottom w:val="nil" w:sz="0" w:space="0" w:shadow="0" w:frame="0" w:color="auto"/>
          <w:right w:val="nil" w:sz="0" w:space="0" w:shadow="0" w:frame="0" w:color="auto"/>
          <w:between w:val="nil" w:sz="0" w:space="0" w:shadow="0" w:frame="0" w:color="auto"/>
        </w:pBdr>
        <w:spacing w:lineRule="auto" w:line="276" w:after="0" w:beforeAutospacing="0" w:afterAutospacing="0"/>
        <w:jc w:val="center"/>
        <w:rPr>
          <w:rFonts w:ascii="Times New Roman" w:hAnsi="Times New Roman" w:cs="Times New Roman" w:eastAsia="Times New Roman"/>
          <w:b w:val="1"/>
          <w:sz w:val="24"/>
          <w:szCs w:val="24"/>
          <w:lang w:eastAsia="uk-UA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14128" w:type="dxa"/>
          </w:tcPr>
          <w:p>
            <w:pPr>
              <w:tabs>
                <w:tab w:val="left" w:pos="900" w:leader="none"/>
              </w:tabs>
              <w:spacing w:before="240" w:beforeAutospacing="0" w:afterAutospacing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Особи, уповноважені взаємодіяти з Авторизованою електронною системою:</w:t>
            </w: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1. Зозуля Андрій Володимирович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2. Бабич Анжела Ваганівна</w:t>
      </w: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tabs>
          <w:tab w:val="left" w:pos="851" w:leader="none"/>
        </w:tabs>
        <w:spacing w:lineRule="auto" w:line="240" w:before="40" w:after="40" w:beforeAutospacing="0" w:afterAutospacing="0"/>
        <w:ind w:firstLine="568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Питання, винесене на голосування: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1.</w:t>
        <w:tab/>
        <w:t>Переобрання Генерального директора Товариства, затвердження умов трудового контракту з ним, уповноваження особи на підписання контракту від імені Товариства.</w:t>
      </w:r>
    </w:p>
    <w:p>
      <w:pPr>
        <w:widowControl w:val="0"/>
        <w:spacing w:before="240" w:beforeAutospacing="0" w:afterAutospacing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Правило прийняття рішення: Більшістю голосів (від зареєструвавшихся)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Проект рішення </w:t>
      </w:r>
      <w:r>
        <w:rPr>
          <w:rFonts w:cs="Times New Roman" w:eastAsia="Times New Roman"/>
          <w:b w:val="1"/>
          <w:i w:val="1"/>
          <w:bCs w:val="1"/>
          <w:iCs w:val="1"/>
        </w:rPr>
        <w:t>1</w:t>
      </w:r>
      <w:r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Переобрати Марченка Олександра Георгійовича на посаду Генерального директора Товариства на новий п'ятирічний строк, внести зміни до трудового контракту з ним шляхом підписання додаткової угоди, затвердити її умови, уповноважити секретаря Зборів підписати цю додаткову угоду від імені Товариства.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"ЗА" - 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220 голосів.</w:t>
      </w:r>
    </w:p>
    <w:p>
      <w:pPr>
        <w:spacing w:after="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Рішення не прийнято.</w:t>
      </w: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 </w:t>
      </w:r>
    </w:p>
    <w:p>
      <w:pPr>
        <w:ind w:left="-142"/>
        <w:rPr>
          <w:rFonts w:ascii="Times New Roman" w:hAnsi="Times New Roman" w:cs="Times New Roman"/>
          <w:b w:val="1"/>
          <w:bCs w:val="1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Проект рішення </w:t>
      </w:r>
      <w:r>
        <w:rPr>
          <w:rFonts w:cs="Times New Roman" w:eastAsia="Times New Roman"/>
          <w:b w:val="1"/>
          <w:i w:val="1"/>
          <w:bCs w:val="1"/>
          <w:iCs w:val="1"/>
        </w:rPr>
        <w:t>2</w:t>
      </w:r>
      <w:r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Переобрати Марченка Олександра Георгійовича на посаду Генерального директора Товариства на новий п'ятирічний строк, внести зміни до трудового контракту з ним шляхом підписання додаткової угоди, затвердити її умови, уповноважити голову Зборів Олешка ОлегаМихайловича підписати цю додаткову угоду від імені Товариства.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Підсумки голосування: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"ЗА" -  220 голосів, що становить 100,00%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"ПРОТИ" – 0 голосів, що становить 0,00% кількості голосів акціонерів, які зареєструвалися для участі у загальних зборах та є власниками голосуючих простих іменних акцій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акціонерів, які не брали участі у голосуванні – 0 голосів.</w:t>
      </w:r>
    </w:p>
    <w:p>
      <w:pPr>
        <w:spacing w:after="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голосів акціонерів за бюлетенями, визнаними недійсними - 0 голосів.</w:t>
      </w:r>
    </w:p>
    <w:p>
      <w:pPr>
        <w:spacing w:after="12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</w:rPr>
        <w:t>Рішення прийнято.</w:t>
      </w: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 </w:t>
      </w:r>
    </w:p>
    <w:p>
      <w:pPr>
        <w:spacing w:after="120" w:beforeAutospacing="0" w:afterAutospacing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  <w:t xml:space="preserve">Вирішили: </w:t>
      </w:r>
      <w:bookmarkStart w:id="0" w:name="_Hlk142853532"/>
      <w:r>
        <w:rPr>
          <w:rFonts w:ascii="Times New Roman" w:hAnsi="Times New Roman" w:cs="Times New Roman"/>
          <w:sz w:val="24"/>
          <w:szCs w:val="24"/>
        </w:rPr>
        <w:t>Переобрати Марченка Олександра Георгійовича на посаду Генерального директора Товариства на новий п'ятирічний строк, внести зміни до трудового контракту з ним шляхом підписання додаткової угоди, затвердити її умови, уповноважити голову Зборів Олешка ОлегаМихайловича підписати цю додаткову угоду від імені Товариства.</w:t>
      </w:r>
    </w:p>
    <w:p>
      <w:pPr>
        <w:tabs>
          <w:tab w:val="left" w:pos="851" w:leader="none"/>
        </w:tabs>
        <w:spacing w:lineRule="auto" w:line="240" w:after="0" w:beforeAutospacing="0" w:afterAutospacing="0"/>
        <w:ind w:firstLine="567" w:left="-284"/>
        <w:contextualSpacing w:val="1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bookmarkEnd w:id="0"/>
      <w:r>
        <w:rPr>
          <w:rFonts w:ascii="Times New Roman" w:hAnsi="Times New Roman" w:cs="Times New Roman" w:eastAsia="Times New Roman"/>
          <w:sz w:val="16"/>
          <w:szCs w:val="16"/>
          <w:lang w:eastAsia="ru-RU"/>
        </w:rPr>
        <w:t xml:space="preserve">  </w:t>
      </w: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 xml:space="preserve"> </w:t>
      </w:r>
    </w:p>
    <w:p>
      <w:pPr>
        <w:spacing w:lineRule="auto" w:line="256" w:beforeAutospacing="0" w:afterAutospacing="0"/>
        <w:ind w:left="-142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</w:t>
      </w:r>
    </w:p>
    <w:p>
      <w:pPr>
        <w:ind w:left="-142"/>
        <w:rPr>
          <w:rFonts w:ascii="Times New Roman" w:hAnsi="Times New Roman" w:cs="Times New Roman" w:eastAsia="Calibri"/>
          <w:b w:val="1"/>
          <w:bCs w:val="1"/>
          <w:sz w:val="24"/>
          <w:szCs w:val="24"/>
        </w:rPr>
      </w:pPr>
    </w:p>
    <w:tbl>
      <w:tblPr>
        <w:tblStyle w:val="T2"/>
        <w:tblW w:w="0" w:type="auto"/>
        <w:tblInd w:w="-284" w:type="dxa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9639" w:type="dxa"/>
          </w:tcPr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bookmarkStart w:id="1" w:name="_Hlk133252576" w:colFirst="0" w:colLast="0"/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Цей документ засвідчено електронною печаткою Центрального депозитарію цінних паперів.</w:t>
            </w:r>
          </w:p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851" w:leader="none"/>
              </w:tabs>
              <w:spacing w:before="40" w:after="40" w:beforeAutospacing="0" w:afterAutospacing="0"/>
              <w:contextualSpacing w:val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Цей Протокол про підсумки голосування складено в дату і час його підписання особою, уповноваженою взаємодіяти з Авторизованою електронною системою. Інформація про дату та час підписання Протоколу про підсумки голосування шляхом накладення електронного підпису розкривається при перевірці електронного підпису.</w:t>
            </w:r>
          </w:p>
        </w:tc>
      </w:tr>
    </w:tbl>
    <w:p>
      <w:pPr>
        <w:ind w:left="-142"/>
        <w:rPr>
          <w:rFonts w:ascii="Times New Roman" w:hAnsi="Times New Roman" w:cs="Times New Roman"/>
          <w:sz w:val="24"/>
          <w:szCs w:val="24"/>
        </w:rPr>
      </w:pPr>
      <w:bookmarkEnd w:id="1"/>
    </w:p>
    <w:tbl>
      <w:tblPr>
        <w:tblStyle w:val="T2"/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5387" w:type="dxa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bookmarkStart w:id="2" w:name="_Hlk141380045" w:colFirst="0" w:colLast="1"/>
          </w:p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>Особи, уповноважені взаємодіяти з Авторизованою електронною системою: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bookmarkEnd w:id="2"/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>1. Зозуля Андрій Володимирович</w:t>
      </w: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</w:pPr>
    </w:p>
    <w:p>
      <w:pPr>
        <w:tabs>
          <w:tab w:val="left" w:pos="900" w:leader="none"/>
        </w:tabs>
        <w:spacing w:lineRule="auto" w:line="240" w:after="0" w:beforeAutospacing="0" w:afterAutospacing="0"/>
        <w:ind w:left="-284"/>
        <w:jc w:val="both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val="en-US" w:eastAsia="ru-RU"/>
        </w:rPr>
        <w:t>2. Бабич Анжела Ваганівна</w:t>
      </w:r>
    </w:p>
    <w:p>
      <w:pPr>
        <w:ind w:left="-142"/>
        <w:rPr>
          <w:rFonts w:ascii="Times New Roman" w:hAnsi="Times New Roman" w:cs="Times New Roman"/>
          <w:sz w:val="24"/>
          <w:szCs w:val="24"/>
        </w:rPr>
      </w:pPr>
    </w:p>
    <w:sectPr>
      <w:type w:val="nextPage"/>
      <w:pgSz w:w="11906" w:h="16838" w:code="0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hyphenationZone w:val="425"/>
  <w:evenAndOddHeaders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HAnsi"/>
        <w:sz w:val="22"/>
        <w:szCs w:val="22"/>
        <w:lang w:val="uk-UA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paragraph" w:styleId="P2">
    <w:name w:val="annotation text"/>
    <w:basedOn w:val="P0"/>
    <w:link w:val="C3"/>
    <w:semiHidden/>
    <w:pPr>
      <w:spacing w:lineRule="auto" w:line="240" w:beforeAutospacing="0" w:afterAutospacing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Текст примітки Знак"/>
    <w:basedOn w:val="C0"/>
    <w:link w:val="P2"/>
    <w:semiHidden/>
    <w:rPr>
      <w:sz w:val="20"/>
      <w:szCs w:val="20"/>
    </w:rPr>
  </w:style>
  <w:style w:type="character" w:styleId="C4">
    <w:name w:val="annotation reference"/>
    <w:basedOn w:val="C0"/>
    <w:semiHidden/>
    <w:rPr>
      <w:sz w:val="16"/>
      <w:szCs w:val="16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3">
    <w:name w:val="Table Grid1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4">
    <w:name w:val="Table Grid2"/>
    <w:basedOn w:val="T0"/>
    <w:pPr>
      <w:spacing w:lineRule="auto" w:line="240" w:after="0" w:beforeAutospacing="0" w:afterAutospacing="0"/>
    </w:pPr>
    <w:rPr>
      <w:rFonts w:ascii="Calibri" w:hAnsi="Calibri" w:cs="Times New Roman" w:eastAsia="Calibri"/>
    </w:r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table" w:styleId="T5">
    <w:name w:val="Table Grid3"/>
    <w:basedOn w:val="T0"/>
    <w:pPr>
      <w:spacing w:lineRule="auto" w:line="240" w:after="0" w:beforeAutospacing="0" w:afterAutospacing="0"/>
    </w:pPr>
    <w:rPr>
      <w:rFonts w:ascii="Calibri" w:hAnsi="Calibri" w:cs="Times New Roman" w:eastAsia="Calibri"/>
    </w:r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Relationship Id="RelItem1" Type="http://schemas.openxmlformats.org/officeDocument/2006/relationships/customXml" Target="../customXml/item1.xml" /><Relationship Id="RelItem2" Type="http://schemas.openxmlformats.org/officeDocument/2006/relationships/customXml" Target="../customXml/item2.xml" /><Relationship Id="RelItem3" Type="http://schemas.openxmlformats.org/officeDocument/2006/relationships/customXml" Target="../customXml/item3.xml" /><Relationship Id="RelItem4" Type="http://schemas.openxmlformats.org/officeDocument/2006/relationships/customXml" Target="../customXml/item4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2BBC60D5A1EA4D93AC0861CD7E5B14" ma:contentTypeVersion="5" ma:contentTypeDescription="Створення нового документа." ma:contentTypeScope="" ma:versionID="1c00ad86b2673ba1245e974e895759a5">
  <xsd:schema xmlns:xsd="http://www.w3.org/2001/XMLSchema" xmlns:xs="http://www.w3.org/2001/XMLSchema" xmlns:p="http://schemas.microsoft.com/office/2006/metadata/properties" xmlns:ns2="98b98d37-ebbb-4a39-ab84-b1238f807dc3" xmlns:ns3="76bfb5bb-1604-4d72-9843-8830db66fd49" targetNamespace="http://schemas.microsoft.com/office/2006/metadata/properties" ma:root="true" ma:fieldsID="15d51a2461185126bbf249cff44bf723" ns2:_="" ns3:_="">
    <xsd:import namespace="98b98d37-ebbb-4a39-ab84-b1238f807dc3"/>
    <xsd:import namespace="76bfb5bb-1604-4d72-9843-8830db66f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b98d37-ebbb-4a39-ab84-b1238f807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fb5bb-1604-4d72-9843-8830db66f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8a48c4-5e80-43c6-b1f4-7f35379e3d6c}">
  <ds:schemaRefs>
    <ds:schemaRef ds:uri="http://schemas.microsoft.com/vsto/samples"/>
  </ds:schemaRefs>
</ds:datastoreItem>
</file>

<file path=customXml/itemProps2.xml><?xml version="1.0" encoding="utf-8"?>
<ds:datastoreItem xmlns:ds="http://schemas.openxmlformats.org/officeDocument/2006/customXml" ds:itemID="{c65f4ef5-04cc-46b1-b4f4-9adebb77f45a}">
  <ds:schemaRefs>
    <ds:schemaRef ds:uri="http://schemas.microsoft.com/vsto/samples"/>
  </ds:schemaRefs>
</ds:datastoreItem>
</file>

<file path=customXml/itemProps3.xml><?xml version="1.0" encoding="utf-8"?>
<ds:datastoreItem xmlns:ds="http://schemas.openxmlformats.org/officeDocument/2006/customXml" ds:itemID="{de6d61dd-8c20-489a-bfb5-0d74034fdf13}">
  <ds:schemaRefs>
    <ds:schemaRef ds:uri="http://schemas.microsoft.com/vsto/samples"/>
  </ds:schemaRefs>
</ds:datastoreItem>
</file>

<file path=customXml/itemProps4.xml><?xml version="1.0" encoding="utf-8"?>
<ds:datastoreItem xmlns:ds="http://schemas.openxmlformats.org/officeDocument/2006/customXml" ds:itemID="{de036027-35b9-4ffc-9534-ddca6d021f48}">
  <ds:schemaRefs>
    <ds:schemaRef ds:uri="http://schemas.microsoft.com/vsto/samples"/>
  </ds:schemaRefs>
</ds:datastoreItem>
</file>

<file path=docProps/app.xml><?xml version="1.0" encoding="utf-8"?>
<Properties xmlns="http://schemas.openxmlformats.org/officeDocument/2006/extended-properties">
  <Application>DevExpress Office File API/22.2.3.0</Application>
  <AppVersion>22.2</AppVersion>
  <Template>Normal.dotm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Дмитро Панчугін</dc:creator>
  <dcterms:created xsi:type="dcterms:W3CDTF">2023-08-13T16:34:00Z</dcterms:created>
  <dcterms:modified xsi:type="dcterms:W3CDTF">2025-12-25T14:10:41Z</dcterms:modified>
  <cp:revision>118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0x010100A32BBC60D5A1EA4D93AC0861CD7E5B14</vt:lpwstr>
  </property>
</Properties>
</file>